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Spec="center"/>
        <w:tblW w:w="5231" w:type="pct"/>
        <w:tblInd w:w="0" w:type="dxa"/>
        <w:tblLayout w:type="autofit"/>
        <w:tblCellMar>
          <w:top w:w="0" w:type="dxa"/>
          <w:left w:w="108" w:type="dxa"/>
          <w:bottom w:w="0" w:type="dxa"/>
          <w:right w:w="108" w:type="dxa"/>
        </w:tblCellMar>
      </w:tblPr>
      <w:tblGrid>
        <w:gridCol w:w="2180"/>
        <w:gridCol w:w="8341"/>
      </w:tblGrid>
      <w:tr>
        <w:tblPrEx>
          <w:tblCellMar>
            <w:top w:w="0" w:type="dxa"/>
            <w:left w:w="108" w:type="dxa"/>
            <w:bottom w:w="0" w:type="dxa"/>
            <w:right w:w="108" w:type="dxa"/>
          </w:tblCellMar>
        </w:tblPrEx>
        <w:trPr>
          <w:trHeight w:val="936" w:hRule="atLeast"/>
        </w:trPr>
        <w:tc>
          <w:tcPr>
            <w:tcW w:w="1036" w:type="pct"/>
          </w:tcPr>
          <w:p>
            <w:pPr>
              <w:jc w:val="center"/>
              <w:rPr>
                <w:sz w:val="26"/>
                <w:szCs w:val="26"/>
              </w:rPr>
            </w:pPr>
            <w:r>
              <w:rPr>
                <w:rFonts w:ascii="Arial" w:hAnsi="Arial" w:cs="Arial"/>
                <w:bCs/>
                <w:sz w:val="26"/>
                <w:szCs w:val="26"/>
              </w:rPr>
              <w:drawing>
                <wp:inline distT="0" distB="0" distL="0" distR="0">
                  <wp:extent cx="1122680" cy="521970"/>
                  <wp:effectExtent l="0" t="0" r="762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283622" cy="597454"/>
                          </a:xfrm>
                          <a:prstGeom prst="rect">
                            <a:avLst/>
                          </a:prstGeom>
                        </pic:spPr>
                      </pic:pic>
                    </a:graphicData>
                  </a:graphic>
                </wp:inline>
              </w:drawing>
            </w:r>
          </w:p>
        </w:tc>
        <w:tc>
          <w:tcPr>
            <w:tcW w:w="3963" w:type="pct"/>
          </w:tcPr>
          <w:p>
            <w:pPr>
              <w:spacing w:before="40" w:after="40"/>
              <w:ind w:left="72"/>
              <w:jc w:val="center"/>
              <w:rPr>
                <w:rFonts w:eastAsia="Arial Unicode MS"/>
                <w:b/>
                <w:bCs/>
                <w:sz w:val="25"/>
                <w:szCs w:val="25"/>
                <w:u w:val="single"/>
              </w:rPr>
            </w:pPr>
            <w:r>
              <w:rPr>
                <w:rFonts w:eastAsia="Arial Unicode MS"/>
                <w:b/>
                <w:bCs/>
                <w:sz w:val="25"/>
                <w:szCs w:val="25"/>
                <w:u w:val="single"/>
              </w:rPr>
              <w:t>CÔNG TY CP ĐẦU TƯ PHÁT TRIỂN THƯƠNG MẠI VIỄN ĐÔNG</w:t>
            </w:r>
          </w:p>
          <w:p>
            <w:pPr>
              <w:spacing w:before="40" w:after="40"/>
              <w:ind w:left="72"/>
              <w:jc w:val="center"/>
              <w:rPr>
                <w:rFonts w:eastAsia="Arial Unicode MS"/>
                <w:b/>
                <w:bCs/>
              </w:rPr>
            </w:pPr>
            <w:r>
              <w:rPr>
                <w:rFonts w:eastAsia="Arial Unicode MS"/>
                <w:b/>
                <w:bCs/>
                <w:sz w:val="22"/>
                <w:szCs w:val="22"/>
              </w:rPr>
              <w:t>VIEN DONG INVESTMENT DEVELOPMENT TRADING CORPORATION</w:t>
            </w:r>
          </w:p>
          <w:p>
            <w:pPr>
              <w:ind w:left="72"/>
              <w:jc w:val="center"/>
              <w:rPr>
                <w:sz w:val="26"/>
                <w:szCs w:val="26"/>
              </w:rPr>
            </w:pPr>
          </w:p>
        </w:tc>
      </w:tr>
      <w:tr>
        <w:tblPrEx>
          <w:tblCellMar>
            <w:top w:w="0" w:type="dxa"/>
            <w:left w:w="108" w:type="dxa"/>
            <w:bottom w:w="0" w:type="dxa"/>
            <w:right w:w="108" w:type="dxa"/>
          </w:tblCellMar>
        </w:tblPrEx>
        <w:trPr>
          <w:trHeight w:val="308" w:hRule="atLeast"/>
        </w:trPr>
        <w:tc>
          <w:tcPr>
            <w:tcW w:w="1036" w:type="pct"/>
          </w:tcPr>
          <w:p>
            <w:pPr>
              <w:jc w:val="center"/>
              <w:rPr>
                <w:sz w:val="26"/>
                <w:szCs w:val="26"/>
              </w:rPr>
            </w:pPr>
          </w:p>
        </w:tc>
        <w:tc>
          <w:tcPr>
            <w:tcW w:w="3963" w:type="pct"/>
          </w:tcPr>
          <w:p>
            <w:pPr>
              <w:tabs>
                <w:tab w:val="left" w:pos="7605"/>
              </w:tabs>
              <w:ind w:left="72" w:right="-7"/>
              <w:jc w:val="right"/>
              <w:rPr>
                <w:bCs/>
                <w:i/>
                <w:sz w:val="26"/>
                <w:szCs w:val="26"/>
              </w:rPr>
            </w:pPr>
            <w:r>
              <w:rPr>
                <w:bCs/>
                <w:i/>
                <w:sz w:val="26"/>
                <w:szCs w:val="26"/>
              </w:rPr>
              <w:t xml:space="preserve">TP.HCM, ngày 23 tháng 04 năm 2021 </w:t>
            </w:r>
          </w:p>
        </w:tc>
      </w:tr>
    </w:tbl>
    <w:p>
      <w:pPr>
        <w:ind w:left="-480" w:leftChars="-200" w:firstLine="480" w:firstLineChars="200"/>
      </w:pPr>
    </w:p>
    <w:p>
      <w:pPr>
        <w:spacing w:before="60" w:after="60"/>
        <w:jc w:val="center"/>
        <w:rPr>
          <w:b/>
          <w:bCs/>
          <w:sz w:val="32"/>
          <w:szCs w:val="32"/>
          <w:lang w:val="pt-BR"/>
        </w:rPr>
      </w:pPr>
      <w:r>
        <w:rPr>
          <w:b/>
          <w:bCs/>
          <w:sz w:val="32"/>
          <w:szCs w:val="32"/>
          <w:lang w:val="pt-BR"/>
        </w:rPr>
        <w:t>TỜ TRÌNH</w:t>
      </w:r>
    </w:p>
    <w:p>
      <w:pPr>
        <w:spacing w:before="60" w:after="60"/>
        <w:jc w:val="center"/>
        <w:rPr>
          <w:b/>
          <w:bCs/>
          <w:sz w:val="26"/>
          <w:szCs w:val="26"/>
          <w:lang w:val="pt-BR"/>
        </w:rPr>
      </w:pPr>
      <w:r>
        <w:rPr>
          <w:b/>
          <w:bCs/>
          <w:sz w:val="26"/>
          <w:szCs w:val="26"/>
          <w:lang w:val="pt-BR"/>
        </w:rPr>
        <w:t>ĐẠI HỘI ĐỒNG CỔ ĐÔNG THƯỜNG NIÊN 202</w:t>
      </w:r>
      <w:r>
        <w:rPr>
          <w:b/>
          <w:bCs/>
          <w:sz w:val="26"/>
          <w:szCs w:val="26"/>
        </w:rPr>
        <w:t>1</w:t>
      </w:r>
    </w:p>
    <w:p>
      <w:pPr>
        <w:spacing w:before="60" w:after="60"/>
        <w:jc w:val="center"/>
        <w:rPr>
          <w:b/>
          <w:i/>
          <w:sz w:val="26"/>
          <w:szCs w:val="26"/>
        </w:rPr>
      </w:pPr>
      <w:r>
        <w:rPr>
          <w:b/>
          <w:i/>
          <w:sz w:val="26"/>
          <w:szCs w:val="26"/>
          <w:lang w:val="pt-BR"/>
        </w:rPr>
        <w:t>V/v Phương án phân phối lợi nhuận năm 20</w:t>
      </w:r>
      <w:r>
        <w:rPr>
          <w:b/>
          <w:i/>
          <w:sz w:val="26"/>
          <w:szCs w:val="26"/>
        </w:rPr>
        <w:t>20</w:t>
      </w:r>
    </w:p>
    <w:p>
      <w:pPr>
        <w:spacing w:before="240" w:after="240"/>
        <w:jc w:val="both"/>
        <w:rPr>
          <w:i/>
          <w:sz w:val="26"/>
          <w:szCs w:val="26"/>
        </w:rPr>
      </w:pPr>
      <w:bookmarkStart w:id="0" w:name="_Hlk42242933"/>
      <w:r>
        <w:rPr>
          <w:i/>
          <w:sz w:val="26"/>
          <w:szCs w:val="26"/>
        </w:rPr>
        <w:t>Kính thưa Đại hội,</w:t>
      </w:r>
    </w:p>
    <w:bookmarkEnd w:id="0"/>
    <w:p>
      <w:pPr>
        <w:numPr>
          <w:ilvl w:val="0"/>
          <w:numId w:val="1"/>
        </w:numPr>
        <w:spacing w:after="120"/>
        <w:jc w:val="both"/>
        <w:rPr>
          <w:bCs/>
          <w:sz w:val="26"/>
          <w:szCs w:val="26"/>
        </w:rPr>
      </w:pPr>
      <w:r>
        <w:rPr>
          <w:bCs/>
          <w:sz w:val="26"/>
          <w:szCs w:val="26"/>
        </w:rPr>
        <w:t xml:space="preserve">Căn cứ Luật Doanh nghiệp 2020 và </w:t>
      </w:r>
      <w:r>
        <w:rPr>
          <w:sz w:val="26"/>
          <w:szCs w:val="26"/>
        </w:rPr>
        <w:t>Điều lệ công ty</w:t>
      </w:r>
      <w:r>
        <w:rPr>
          <w:sz w:val="26"/>
          <w:szCs w:val="26"/>
          <w:lang w:val="vi-VN"/>
        </w:rPr>
        <w:t xml:space="preserve"> </w:t>
      </w:r>
      <w:r>
        <w:rPr>
          <w:sz w:val="26"/>
          <w:szCs w:val="26"/>
        </w:rPr>
        <w:t>CP Đầu tư Phát triển Thương mại Viễn Đông.</w:t>
      </w:r>
    </w:p>
    <w:p>
      <w:pPr>
        <w:numPr>
          <w:ilvl w:val="0"/>
          <w:numId w:val="1"/>
        </w:numPr>
        <w:spacing w:after="120"/>
        <w:jc w:val="both"/>
        <w:rPr>
          <w:bCs/>
          <w:sz w:val="26"/>
          <w:szCs w:val="26"/>
        </w:rPr>
      </w:pPr>
      <w:r>
        <w:rPr>
          <w:bCs/>
          <w:sz w:val="26"/>
          <w:szCs w:val="26"/>
        </w:rPr>
        <w:t xml:space="preserve">Căn cứ </w:t>
      </w:r>
      <w:r>
        <w:rPr>
          <w:sz w:val="26"/>
          <w:szCs w:val="26"/>
        </w:rPr>
        <w:t xml:space="preserve">Báo cáo tài chính riêng/công ty mẹ năm 2020 của Công ty CP Đầu tư Phát triển Thương mại Viễn Đông đã kiểm toán </w:t>
      </w:r>
      <w:r>
        <w:rPr>
          <w:sz w:val="26"/>
          <w:szCs w:val="26"/>
          <w:lang w:val="pt-BR"/>
        </w:rPr>
        <w:t>và Báo cáo của Ban kiểm soát</w:t>
      </w:r>
      <w:r>
        <w:rPr>
          <w:sz w:val="26"/>
          <w:szCs w:val="26"/>
        </w:rPr>
        <w:t>.</w:t>
      </w:r>
    </w:p>
    <w:p>
      <w:pPr>
        <w:spacing w:before="240"/>
        <w:jc w:val="both"/>
        <w:rPr>
          <w:sz w:val="26"/>
          <w:szCs w:val="26"/>
          <w:lang w:val="pt-BR"/>
        </w:rPr>
      </w:pPr>
      <w:r>
        <w:rPr>
          <w:sz w:val="26"/>
          <w:szCs w:val="26"/>
          <w:lang w:val="pt-BR"/>
        </w:rPr>
        <w:t xml:space="preserve">      Hội đồng quản trị kính trình Đại hội về Phương án phân phối lợi nhuận năm 20</w:t>
      </w:r>
      <w:r>
        <w:rPr>
          <w:sz w:val="26"/>
          <w:szCs w:val="26"/>
        </w:rPr>
        <w:t>20</w:t>
      </w:r>
      <w:r>
        <w:rPr>
          <w:sz w:val="26"/>
          <w:szCs w:val="26"/>
          <w:lang w:val="pt-BR"/>
        </w:rPr>
        <w:t>, tóm tắt như sau.</w:t>
      </w:r>
    </w:p>
    <w:p>
      <w:pPr>
        <w:spacing w:before="240"/>
        <w:jc w:val="center"/>
        <w:rPr>
          <w:b/>
          <w:bCs/>
          <w:sz w:val="26"/>
          <w:szCs w:val="26"/>
          <w:lang w:val="pt-BR"/>
        </w:rPr>
      </w:pPr>
      <w:r>
        <w:rPr>
          <w:b/>
          <w:bCs/>
          <w:sz w:val="26"/>
          <w:szCs w:val="26"/>
          <w:lang w:val="pt-BR"/>
        </w:rPr>
        <w:t>PHƯƠNG ÁN PHÂN  PHỐI LỢI NHUẬN NĂM TÀI CHÍNH 2020</w:t>
      </w:r>
    </w:p>
    <w:tbl>
      <w:tblPr>
        <w:tblStyle w:val="3"/>
        <w:tblW w:w="5000" w:type="pct"/>
        <w:tblInd w:w="0" w:type="dxa"/>
        <w:tblLayout w:type="fixed"/>
        <w:tblCellMar>
          <w:top w:w="0" w:type="dxa"/>
          <w:left w:w="108" w:type="dxa"/>
          <w:bottom w:w="0" w:type="dxa"/>
          <w:right w:w="108" w:type="dxa"/>
        </w:tblCellMar>
      </w:tblPr>
      <w:tblGrid>
        <w:gridCol w:w="295"/>
        <w:gridCol w:w="6196"/>
        <w:gridCol w:w="1684"/>
        <w:gridCol w:w="1881"/>
      </w:tblGrid>
      <w:tr>
        <w:tblPrEx>
          <w:tblCellMar>
            <w:top w:w="0" w:type="dxa"/>
            <w:left w:w="108" w:type="dxa"/>
            <w:bottom w:w="0" w:type="dxa"/>
            <w:right w:w="108" w:type="dxa"/>
          </w:tblCellMar>
        </w:tblPrEx>
        <w:trPr>
          <w:trHeight w:val="300" w:hRule="atLeast"/>
        </w:trPr>
        <w:tc>
          <w:tcPr>
            <w:tcW w:w="147" w:type="pct"/>
            <w:tcBorders>
              <w:left w:val="nil"/>
              <w:bottom w:val="single" w:color="auto" w:sz="4" w:space="0"/>
              <w:right w:val="nil"/>
            </w:tcBorders>
            <w:shd w:val="clear" w:color="auto" w:fill="auto"/>
            <w:noWrap/>
            <w:vAlign w:val="center"/>
          </w:tcPr>
          <w:p>
            <w:pPr>
              <w:spacing w:before="40" w:after="40"/>
              <w:rPr>
                <w:sz w:val="26"/>
                <w:szCs w:val="26"/>
              </w:rPr>
            </w:pPr>
          </w:p>
        </w:tc>
        <w:tc>
          <w:tcPr>
            <w:tcW w:w="3081" w:type="pct"/>
            <w:tcBorders>
              <w:left w:val="nil"/>
              <w:bottom w:val="single" w:color="auto" w:sz="4" w:space="0"/>
              <w:right w:val="nil"/>
            </w:tcBorders>
            <w:shd w:val="clear" w:color="auto" w:fill="auto"/>
            <w:vAlign w:val="center"/>
          </w:tcPr>
          <w:p>
            <w:pPr>
              <w:spacing w:before="40" w:after="40"/>
              <w:rPr>
                <w:bCs/>
                <w:sz w:val="26"/>
                <w:szCs w:val="26"/>
              </w:rPr>
            </w:pPr>
          </w:p>
        </w:tc>
        <w:tc>
          <w:tcPr>
            <w:tcW w:w="837" w:type="pct"/>
            <w:tcBorders>
              <w:left w:val="nil"/>
              <w:bottom w:val="single" w:color="auto" w:sz="4" w:space="0"/>
              <w:right w:val="nil"/>
            </w:tcBorders>
          </w:tcPr>
          <w:p>
            <w:pPr>
              <w:spacing w:before="120" w:after="40"/>
              <w:jc w:val="right"/>
              <w:rPr>
                <w:bCs/>
                <w:i/>
                <w:sz w:val="26"/>
                <w:szCs w:val="26"/>
              </w:rPr>
            </w:pPr>
          </w:p>
        </w:tc>
        <w:tc>
          <w:tcPr>
            <w:tcW w:w="935" w:type="pct"/>
            <w:tcBorders>
              <w:left w:val="nil"/>
              <w:bottom w:val="single" w:color="auto" w:sz="4" w:space="0"/>
              <w:right w:val="nil"/>
            </w:tcBorders>
            <w:shd w:val="clear" w:color="auto" w:fill="auto"/>
            <w:noWrap/>
            <w:vAlign w:val="center"/>
          </w:tcPr>
          <w:p>
            <w:pPr>
              <w:spacing w:before="120" w:after="40"/>
              <w:rPr>
                <w:bCs/>
                <w:i/>
              </w:rPr>
            </w:pPr>
            <w:r>
              <w:rPr>
                <w:bCs/>
                <w:i/>
              </w:rPr>
              <w:t>ĐVT:  đồng</w:t>
            </w:r>
          </w:p>
        </w:tc>
      </w:tr>
      <w:tr>
        <w:tblPrEx>
          <w:tblCellMar>
            <w:top w:w="0" w:type="dxa"/>
            <w:left w:w="108" w:type="dxa"/>
            <w:bottom w:w="0" w:type="dxa"/>
            <w:right w:w="108" w:type="dxa"/>
          </w:tblCellMar>
        </w:tblPrEx>
        <w:trPr>
          <w:trHeight w:val="360" w:hRule="atLeast"/>
        </w:trPr>
        <w:tc>
          <w:tcPr>
            <w:tcW w:w="147" w:type="pct"/>
            <w:tcBorders>
              <w:top w:val="single" w:color="auto" w:sz="4" w:space="0"/>
              <w:left w:val="nil"/>
              <w:bottom w:val="single" w:color="auto" w:sz="4" w:space="0"/>
              <w:right w:val="nil"/>
            </w:tcBorders>
            <w:shd w:val="clear" w:color="auto" w:fill="auto"/>
            <w:noWrap/>
            <w:vAlign w:val="center"/>
          </w:tcPr>
          <w:p>
            <w:pPr>
              <w:spacing w:before="40" w:after="40"/>
            </w:pPr>
            <w:r>
              <w:t>1</w:t>
            </w:r>
          </w:p>
        </w:tc>
        <w:tc>
          <w:tcPr>
            <w:tcW w:w="3081" w:type="pct"/>
            <w:tcBorders>
              <w:top w:val="single" w:color="auto" w:sz="4" w:space="0"/>
              <w:left w:val="nil"/>
              <w:bottom w:val="single" w:color="auto" w:sz="4" w:space="0"/>
              <w:right w:val="nil"/>
            </w:tcBorders>
            <w:shd w:val="clear" w:color="auto" w:fill="auto"/>
            <w:vAlign w:val="center"/>
          </w:tcPr>
          <w:p>
            <w:pPr>
              <w:spacing w:before="40" w:after="40"/>
              <w:rPr>
                <w:bCs/>
              </w:rPr>
            </w:pPr>
            <w:r>
              <w:rPr>
                <w:bCs/>
              </w:rPr>
              <w:t>Lợi nhuận sau thuế TNDN năm 2020 (*)</w:t>
            </w:r>
          </w:p>
        </w:tc>
        <w:tc>
          <w:tcPr>
            <w:tcW w:w="837" w:type="pct"/>
            <w:tcBorders>
              <w:top w:val="single" w:color="auto" w:sz="4" w:space="0"/>
              <w:left w:val="nil"/>
              <w:bottom w:val="single" w:color="auto" w:sz="4" w:space="0"/>
              <w:right w:val="nil"/>
            </w:tcBorders>
          </w:tcPr>
          <w:p>
            <w:pPr>
              <w:spacing w:before="40" w:after="40"/>
              <w:jc w:val="right"/>
              <w:rPr>
                <w:bCs/>
              </w:rPr>
            </w:pPr>
          </w:p>
        </w:tc>
        <w:tc>
          <w:tcPr>
            <w:tcW w:w="935" w:type="pct"/>
            <w:tcBorders>
              <w:top w:val="single" w:color="auto" w:sz="4" w:space="0"/>
              <w:left w:val="nil"/>
              <w:bottom w:val="single" w:color="auto" w:sz="4" w:space="0"/>
              <w:right w:val="nil"/>
            </w:tcBorders>
            <w:shd w:val="clear" w:color="auto" w:fill="auto"/>
            <w:noWrap/>
            <w:vAlign w:val="center"/>
          </w:tcPr>
          <w:p>
            <w:pPr>
              <w:spacing w:before="40" w:after="40"/>
              <w:jc w:val="right"/>
              <w:rPr>
                <w:bCs/>
              </w:rPr>
            </w:pPr>
            <w:r>
              <w:t xml:space="preserve">      34.392.957.181 </w:t>
            </w:r>
          </w:p>
        </w:tc>
      </w:tr>
      <w:tr>
        <w:tblPrEx>
          <w:tblCellMar>
            <w:top w:w="0" w:type="dxa"/>
            <w:left w:w="108" w:type="dxa"/>
            <w:bottom w:w="0" w:type="dxa"/>
            <w:right w:w="108" w:type="dxa"/>
          </w:tblCellMar>
        </w:tblPrEx>
        <w:trPr>
          <w:trHeight w:val="360" w:hRule="atLeast"/>
        </w:trPr>
        <w:tc>
          <w:tcPr>
            <w:tcW w:w="147" w:type="pct"/>
            <w:tcBorders>
              <w:top w:val="single" w:color="auto" w:sz="4" w:space="0"/>
              <w:left w:val="nil"/>
              <w:bottom w:val="single" w:color="auto" w:sz="4" w:space="0"/>
              <w:right w:val="nil"/>
            </w:tcBorders>
            <w:shd w:val="clear" w:color="auto" w:fill="auto"/>
            <w:noWrap/>
            <w:vAlign w:val="center"/>
          </w:tcPr>
          <w:p>
            <w:pPr>
              <w:spacing w:before="40" w:after="40"/>
            </w:pPr>
            <w:r>
              <w:t>2</w:t>
            </w:r>
          </w:p>
        </w:tc>
        <w:tc>
          <w:tcPr>
            <w:tcW w:w="3081" w:type="pct"/>
            <w:tcBorders>
              <w:top w:val="single" w:color="auto" w:sz="4" w:space="0"/>
              <w:left w:val="nil"/>
              <w:bottom w:val="single" w:color="auto" w:sz="4" w:space="0"/>
              <w:right w:val="nil"/>
            </w:tcBorders>
            <w:shd w:val="clear" w:color="auto" w:fill="auto"/>
            <w:vAlign w:val="center"/>
          </w:tcPr>
          <w:p>
            <w:pPr>
              <w:spacing w:before="40" w:after="40"/>
              <w:rPr>
                <w:bCs/>
              </w:rPr>
            </w:pPr>
            <w:r>
              <w:rPr>
                <w:bCs/>
              </w:rPr>
              <w:t>Lợi nhuận sau thuế TNDN ( các ) năm trước</w:t>
            </w:r>
          </w:p>
          <w:p>
            <w:pPr>
              <w:spacing w:before="40" w:after="40"/>
              <w:rPr>
                <w:bCs/>
                <w:i/>
                <w:iCs/>
              </w:rPr>
            </w:pPr>
            <w:r>
              <w:rPr>
                <w:bCs/>
                <w:i/>
                <w:iCs/>
              </w:rPr>
              <w:t xml:space="preserve">Chưa phân phối lũy kế tính đến ngày 31/12/2019 </w:t>
            </w:r>
          </w:p>
        </w:tc>
        <w:tc>
          <w:tcPr>
            <w:tcW w:w="837" w:type="pct"/>
            <w:tcBorders>
              <w:top w:val="single" w:color="auto" w:sz="4" w:space="0"/>
              <w:left w:val="nil"/>
              <w:bottom w:val="single" w:color="auto" w:sz="4" w:space="0"/>
              <w:right w:val="nil"/>
            </w:tcBorders>
          </w:tcPr>
          <w:p>
            <w:pPr>
              <w:spacing w:before="40" w:after="40"/>
              <w:jc w:val="right"/>
              <w:rPr>
                <w:bCs/>
              </w:rPr>
            </w:pPr>
          </w:p>
        </w:tc>
        <w:tc>
          <w:tcPr>
            <w:tcW w:w="935" w:type="pct"/>
            <w:tcBorders>
              <w:top w:val="single" w:color="auto" w:sz="4" w:space="0"/>
              <w:left w:val="nil"/>
              <w:bottom w:val="single" w:color="auto" w:sz="4" w:space="0"/>
              <w:right w:val="nil"/>
            </w:tcBorders>
            <w:shd w:val="clear" w:color="auto" w:fill="auto"/>
            <w:noWrap/>
            <w:vAlign w:val="center"/>
          </w:tcPr>
          <w:p>
            <w:pPr>
              <w:spacing w:before="40" w:after="40"/>
              <w:jc w:val="right"/>
              <w:rPr>
                <w:bCs/>
              </w:rPr>
            </w:pPr>
            <w:r>
              <w:rPr>
                <w:bCs/>
              </w:rPr>
              <w:t>50.332.681.474</w:t>
            </w:r>
          </w:p>
        </w:tc>
      </w:tr>
      <w:tr>
        <w:tblPrEx>
          <w:tblCellMar>
            <w:top w:w="0" w:type="dxa"/>
            <w:left w:w="108" w:type="dxa"/>
            <w:bottom w:w="0" w:type="dxa"/>
            <w:right w:w="108" w:type="dxa"/>
          </w:tblCellMar>
        </w:tblPrEx>
        <w:trPr>
          <w:trHeight w:val="360" w:hRule="atLeast"/>
        </w:trPr>
        <w:tc>
          <w:tcPr>
            <w:tcW w:w="147" w:type="pct"/>
            <w:tcBorders>
              <w:top w:val="single" w:color="auto" w:sz="4" w:space="0"/>
              <w:left w:val="nil"/>
              <w:bottom w:val="single" w:color="auto" w:sz="4" w:space="0"/>
              <w:right w:val="nil"/>
            </w:tcBorders>
            <w:shd w:val="clear" w:color="auto" w:fill="auto"/>
            <w:noWrap/>
            <w:vAlign w:val="center"/>
          </w:tcPr>
          <w:p>
            <w:pPr>
              <w:spacing w:before="40" w:after="40"/>
            </w:pPr>
            <w:r>
              <w:t>3</w:t>
            </w:r>
          </w:p>
        </w:tc>
        <w:tc>
          <w:tcPr>
            <w:tcW w:w="3081" w:type="pct"/>
            <w:tcBorders>
              <w:top w:val="single" w:color="auto" w:sz="4" w:space="0"/>
              <w:left w:val="nil"/>
              <w:bottom w:val="single" w:color="auto" w:sz="4" w:space="0"/>
              <w:right w:val="nil"/>
            </w:tcBorders>
            <w:shd w:val="clear" w:color="auto" w:fill="auto"/>
            <w:vAlign w:val="center"/>
          </w:tcPr>
          <w:p>
            <w:pPr>
              <w:spacing w:before="40" w:after="40"/>
              <w:rPr>
                <w:bCs/>
              </w:rPr>
            </w:pPr>
            <w:r>
              <w:rPr>
                <w:bCs/>
              </w:rPr>
              <w:t>Tổng lợi nhuận sau thuế TNDN</w:t>
            </w:r>
          </w:p>
          <w:p>
            <w:pPr>
              <w:spacing w:before="40" w:after="40"/>
              <w:rPr>
                <w:bCs/>
              </w:rPr>
            </w:pPr>
            <w:r>
              <w:rPr>
                <w:bCs/>
                <w:i/>
                <w:iCs/>
              </w:rPr>
              <w:t>Chưa phân phối lũy kế tính đến ngày 31/12/2020</w:t>
            </w:r>
          </w:p>
        </w:tc>
        <w:tc>
          <w:tcPr>
            <w:tcW w:w="837" w:type="pct"/>
            <w:tcBorders>
              <w:top w:val="single" w:color="auto" w:sz="4" w:space="0"/>
              <w:left w:val="nil"/>
              <w:bottom w:val="single" w:color="auto" w:sz="4" w:space="0"/>
              <w:right w:val="nil"/>
            </w:tcBorders>
          </w:tcPr>
          <w:p>
            <w:pPr>
              <w:spacing w:before="40" w:after="40"/>
              <w:jc w:val="right"/>
              <w:rPr>
                <w:bCs/>
              </w:rPr>
            </w:pPr>
          </w:p>
        </w:tc>
        <w:tc>
          <w:tcPr>
            <w:tcW w:w="935" w:type="pct"/>
            <w:tcBorders>
              <w:top w:val="single" w:color="auto" w:sz="4" w:space="0"/>
              <w:left w:val="nil"/>
              <w:bottom w:val="single" w:color="auto" w:sz="4" w:space="0"/>
              <w:right w:val="nil"/>
            </w:tcBorders>
            <w:shd w:val="clear" w:color="auto" w:fill="auto"/>
            <w:noWrap/>
            <w:vAlign w:val="center"/>
          </w:tcPr>
          <w:p>
            <w:pPr>
              <w:spacing w:before="40" w:after="40"/>
              <w:jc w:val="right"/>
            </w:pPr>
            <w:r>
              <w:t>84.725.638.655</w:t>
            </w:r>
          </w:p>
        </w:tc>
      </w:tr>
      <w:tr>
        <w:tblPrEx>
          <w:tblCellMar>
            <w:top w:w="0" w:type="dxa"/>
            <w:left w:w="108" w:type="dxa"/>
            <w:bottom w:w="0" w:type="dxa"/>
            <w:right w:w="108" w:type="dxa"/>
          </w:tblCellMar>
        </w:tblPrEx>
        <w:trPr>
          <w:trHeight w:val="360" w:hRule="atLeast"/>
        </w:trPr>
        <w:tc>
          <w:tcPr>
            <w:tcW w:w="147" w:type="pct"/>
            <w:tcBorders>
              <w:top w:val="nil"/>
              <w:left w:val="nil"/>
              <w:bottom w:val="single" w:color="auto" w:sz="4" w:space="0"/>
              <w:right w:val="nil"/>
            </w:tcBorders>
            <w:shd w:val="clear" w:color="auto" w:fill="auto"/>
            <w:noWrap/>
            <w:vAlign w:val="center"/>
          </w:tcPr>
          <w:p>
            <w:pPr>
              <w:spacing w:before="40" w:after="40"/>
            </w:pPr>
            <w:r>
              <w:t>4</w:t>
            </w:r>
          </w:p>
        </w:tc>
        <w:tc>
          <w:tcPr>
            <w:tcW w:w="3081" w:type="pct"/>
            <w:tcBorders>
              <w:top w:val="nil"/>
              <w:left w:val="nil"/>
              <w:bottom w:val="single" w:color="auto" w:sz="4" w:space="0"/>
              <w:right w:val="nil"/>
            </w:tcBorders>
            <w:shd w:val="clear" w:color="auto" w:fill="auto"/>
            <w:vAlign w:val="center"/>
          </w:tcPr>
          <w:p>
            <w:pPr>
              <w:spacing w:before="40" w:after="40"/>
            </w:pPr>
            <w:r>
              <w:t>Trích lập quỹ khen thưởng-phúc lợi               1% x (*)</w:t>
            </w:r>
          </w:p>
        </w:tc>
        <w:tc>
          <w:tcPr>
            <w:tcW w:w="837" w:type="pct"/>
            <w:tcBorders>
              <w:top w:val="nil"/>
              <w:left w:val="nil"/>
              <w:bottom w:val="single" w:color="auto" w:sz="4" w:space="0"/>
              <w:right w:val="nil"/>
            </w:tcBorders>
          </w:tcPr>
          <w:p>
            <w:pPr>
              <w:spacing w:before="40" w:after="40"/>
              <w:jc w:val="right"/>
            </w:pPr>
          </w:p>
        </w:tc>
        <w:tc>
          <w:tcPr>
            <w:tcW w:w="935" w:type="pct"/>
            <w:tcBorders>
              <w:top w:val="nil"/>
              <w:left w:val="nil"/>
              <w:bottom w:val="single" w:color="auto" w:sz="4" w:space="0"/>
              <w:right w:val="nil"/>
            </w:tcBorders>
            <w:shd w:val="clear" w:color="auto" w:fill="auto"/>
            <w:noWrap/>
            <w:vAlign w:val="center"/>
          </w:tcPr>
          <w:p>
            <w:pPr>
              <w:spacing w:before="40" w:after="40"/>
              <w:jc w:val="right"/>
            </w:pPr>
            <w:r>
              <w:t>343.929.000</w:t>
            </w:r>
          </w:p>
        </w:tc>
      </w:tr>
      <w:tr>
        <w:tblPrEx>
          <w:tblCellMar>
            <w:top w:w="0" w:type="dxa"/>
            <w:left w:w="108" w:type="dxa"/>
            <w:bottom w:w="0" w:type="dxa"/>
            <w:right w:w="108" w:type="dxa"/>
          </w:tblCellMar>
        </w:tblPrEx>
        <w:trPr>
          <w:trHeight w:val="510" w:hRule="atLeast"/>
        </w:trPr>
        <w:tc>
          <w:tcPr>
            <w:tcW w:w="147" w:type="pct"/>
            <w:tcBorders>
              <w:top w:val="nil"/>
              <w:left w:val="nil"/>
              <w:bottom w:val="single" w:color="auto" w:sz="4" w:space="0"/>
              <w:right w:val="nil"/>
            </w:tcBorders>
            <w:shd w:val="clear" w:color="auto" w:fill="auto"/>
            <w:noWrap/>
            <w:vAlign w:val="center"/>
          </w:tcPr>
          <w:p>
            <w:pPr>
              <w:spacing w:before="40" w:after="40"/>
            </w:pPr>
            <w:r>
              <w:t>5</w:t>
            </w:r>
          </w:p>
        </w:tc>
        <w:tc>
          <w:tcPr>
            <w:tcW w:w="3081" w:type="pct"/>
            <w:tcBorders>
              <w:top w:val="nil"/>
              <w:left w:val="nil"/>
              <w:bottom w:val="single" w:color="auto" w:sz="4" w:space="0"/>
              <w:right w:val="nil"/>
            </w:tcBorders>
            <w:shd w:val="clear" w:color="auto" w:fill="auto"/>
            <w:vAlign w:val="center"/>
          </w:tcPr>
          <w:p>
            <w:pPr>
              <w:spacing w:before="40" w:after="40"/>
              <w:rPr>
                <w:rFonts w:hint="default"/>
                <w:highlight w:val="none"/>
                <w:lang w:val="en-US"/>
              </w:rPr>
            </w:pPr>
            <w:r>
              <w:rPr>
                <w:highlight w:val="none"/>
              </w:rPr>
              <w:t>Trích trả cổ tức tỉ lệ 15% bằng tiền mặt</w:t>
            </w:r>
            <w:r>
              <w:rPr>
                <w:rFonts w:hint="default"/>
                <w:highlight w:val="none"/>
                <w:lang w:val="en-US"/>
              </w:rPr>
              <w:t xml:space="preserve"> hoặc cổ phiếu</w:t>
            </w:r>
          </w:p>
        </w:tc>
        <w:tc>
          <w:tcPr>
            <w:tcW w:w="837" w:type="pct"/>
            <w:tcBorders>
              <w:top w:val="nil"/>
              <w:left w:val="nil"/>
              <w:bottom w:val="single" w:color="auto" w:sz="4" w:space="0"/>
              <w:right w:val="nil"/>
            </w:tcBorders>
          </w:tcPr>
          <w:p>
            <w:pPr>
              <w:spacing w:before="40" w:after="40"/>
              <w:jc w:val="right"/>
              <w:rPr>
                <w:highlight w:val="none"/>
              </w:rPr>
            </w:pPr>
          </w:p>
        </w:tc>
        <w:tc>
          <w:tcPr>
            <w:tcW w:w="935" w:type="pct"/>
            <w:tcBorders>
              <w:top w:val="nil"/>
              <w:left w:val="nil"/>
              <w:bottom w:val="single" w:color="auto" w:sz="4" w:space="0"/>
              <w:right w:val="nil"/>
            </w:tcBorders>
            <w:shd w:val="clear" w:color="auto" w:fill="auto"/>
            <w:noWrap/>
            <w:vAlign w:val="center"/>
          </w:tcPr>
          <w:p>
            <w:pPr>
              <w:spacing w:before="40" w:after="40"/>
              <w:jc w:val="right"/>
              <w:rPr>
                <w:highlight w:val="none"/>
              </w:rPr>
            </w:pPr>
            <w:r>
              <w:rPr>
                <w:highlight w:val="none"/>
              </w:rPr>
              <w:t>46.320.105.000</w:t>
            </w:r>
          </w:p>
        </w:tc>
      </w:tr>
      <w:tr>
        <w:tblPrEx>
          <w:tblCellMar>
            <w:top w:w="0" w:type="dxa"/>
            <w:left w:w="108" w:type="dxa"/>
            <w:bottom w:w="0" w:type="dxa"/>
            <w:right w:w="108" w:type="dxa"/>
          </w:tblCellMar>
        </w:tblPrEx>
        <w:trPr>
          <w:trHeight w:val="510" w:hRule="atLeast"/>
        </w:trPr>
        <w:tc>
          <w:tcPr>
            <w:tcW w:w="147" w:type="pct"/>
            <w:tcBorders>
              <w:top w:val="nil"/>
              <w:left w:val="nil"/>
              <w:bottom w:val="single" w:color="auto" w:sz="4" w:space="0"/>
              <w:right w:val="nil"/>
            </w:tcBorders>
            <w:shd w:val="clear" w:color="auto" w:fill="auto"/>
            <w:noWrap/>
            <w:vAlign w:val="center"/>
          </w:tcPr>
          <w:p>
            <w:pPr>
              <w:spacing w:before="40" w:after="40"/>
            </w:pPr>
            <w:r>
              <w:t>6</w:t>
            </w:r>
          </w:p>
        </w:tc>
        <w:tc>
          <w:tcPr>
            <w:tcW w:w="3081" w:type="pct"/>
            <w:tcBorders>
              <w:top w:val="nil"/>
              <w:left w:val="nil"/>
              <w:bottom w:val="single" w:color="auto" w:sz="4" w:space="0"/>
              <w:right w:val="nil"/>
            </w:tcBorders>
            <w:shd w:val="clear" w:color="auto" w:fill="auto"/>
            <w:vAlign w:val="center"/>
          </w:tcPr>
          <w:p>
            <w:pPr>
              <w:spacing w:before="40" w:after="40"/>
            </w:pPr>
            <w:r>
              <w:t>Lợi nhuận sau thuế TNDN còn giữ lại chưa phân phối</w:t>
            </w:r>
          </w:p>
          <w:p>
            <w:pPr>
              <w:spacing w:before="40" w:after="40"/>
            </w:pPr>
            <w:r>
              <w:t>lũy kế tính đến ngày 31/12/2020</w:t>
            </w:r>
          </w:p>
        </w:tc>
        <w:tc>
          <w:tcPr>
            <w:tcW w:w="837" w:type="pct"/>
            <w:tcBorders>
              <w:top w:val="nil"/>
              <w:left w:val="nil"/>
              <w:bottom w:val="single" w:color="auto" w:sz="4" w:space="0"/>
              <w:right w:val="nil"/>
            </w:tcBorders>
          </w:tcPr>
          <w:p>
            <w:pPr>
              <w:spacing w:before="40" w:after="40"/>
              <w:jc w:val="right"/>
            </w:pPr>
          </w:p>
        </w:tc>
        <w:tc>
          <w:tcPr>
            <w:tcW w:w="935" w:type="pct"/>
            <w:tcBorders>
              <w:top w:val="nil"/>
              <w:left w:val="nil"/>
              <w:bottom w:val="single" w:color="auto" w:sz="4" w:space="0"/>
              <w:right w:val="nil"/>
            </w:tcBorders>
            <w:shd w:val="clear" w:color="auto" w:fill="auto"/>
            <w:noWrap/>
            <w:vAlign w:val="center"/>
          </w:tcPr>
          <w:p>
            <w:pPr>
              <w:spacing w:before="40" w:after="40"/>
              <w:jc w:val="right"/>
            </w:pPr>
            <w:bookmarkStart w:id="1" w:name="_Hlk68098508"/>
            <w:r>
              <w:t>38.061.604.655</w:t>
            </w:r>
            <w:bookmarkEnd w:id="1"/>
          </w:p>
        </w:tc>
      </w:tr>
    </w:tbl>
    <w:p>
      <w:pPr>
        <w:spacing w:before="240" w:after="120"/>
        <w:jc w:val="both"/>
        <w:rPr>
          <w:sz w:val="26"/>
          <w:szCs w:val="26"/>
        </w:rPr>
      </w:pPr>
      <w:r>
        <w:rPr>
          <w:sz w:val="26"/>
          <w:szCs w:val="26"/>
        </w:rPr>
        <w:t xml:space="preserve">Để đáp ứng kỳ vọng của các cổ đông đã đồng hành cùng với công ty nhiều năm qua,  Hội đồng quản trị dự kiến trích phần lớn lợi nhuận sau thuế TNDN chưa phân phối đã tích lũy chia cho các cổ đông với tỉ lệ </w:t>
      </w:r>
      <w:r>
        <w:rPr>
          <w:sz w:val="26"/>
          <w:szCs w:val="26"/>
          <w:highlight w:val="none"/>
        </w:rPr>
        <w:t>15% bằng tiền mặt</w:t>
      </w:r>
      <w:r>
        <w:rPr>
          <w:rFonts w:hint="default"/>
          <w:sz w:val="26"/>
          <w:szCs w:val="26"/>
          <w:highlight w:val="none"/>
          <w:lang w:val="en-US"/>
        </w:rPr>
        <w:t xml:space="preserve"> hoặc cổ phiếu</w:t>
      </w:r>
      <w:r>
        <w:rPr>
          <w:sz w:val="26"/>
          <w:szCs w:val="26"/>
          <w:highlight w:val="none"/>
        </w:rPr>
        <w:t xml:space="preserve"> ,</w:t>
      </w:r>
      <w:r>
        <w:rPr>
          <w:sz w:val="26"/>
          <w:szCs w:val="26"/>
        </w:rPr>
        <w:t xml:space="preserve"> như vậy lợi nhuân còn giữ lại chưa phân phối 38.061.604.655 đồng sẽ được bổ sung vào nguồn vốn kinh doanh của Công ty</w:t>
      </w:r>
    </w:p>
    <w:p>
      <w:pPr>
        <w:spacing w:before="240" w:after="120"/>
        <w:jc w:val="both"/>
        <w:rPr>
          <w:sz w:val="26"/>
          <w:szCs w:val="26"/>
        </w:rPr>
      </w:pPr>
      <w:r>
        <w:rPr>
          <w:sz w:val="26"/>
          <w:szCs w:val="26"/>
        </w:rPr>
        <w:t xml:space="preserve">  Kính trình Đại hội xem xét và biểu quyết thông qua .</w:t>
      </w:r>
    </w:p>
    <w:p>
      <w:pPr>
        <w:jc w:val="both"/>
        <w:rPr>
          <w:sz w:val="26"/>
          <w:szCs w:val="26"/>
        </w:rPr>
      </w:pPr>
    </w:p>
    <w:p>
      <w:pPr>
        <w:jc w:val="both"/>
        <w:rPr>
          <w:sz w:val="26"/>
          <w:szCs w:val="26"/>
        </w:rPr>
      </w:pPr>
      <w:r>
        <w:rPr>
          <w:b/>
          <w:bCs/>
          <w:sz w:val="26"/>
          <w:szCs w:val="26"/>
        </w:rPr>
        <w:t xml:space="preserve">                                                                                              HỘI ĐỒNG QUẢN TRỊ</w:t>
      </w:r>
    </w:p>
    <w:p>
      <w:pPr>
        <w:ind w:left="-480" w:leftChars="-200" w:firstLine="480" w:firstLineChars="200"/>
      </w:pPr>
      <w:bookmarkStart w:id="2" w:name="_GoBack"/>
      <w:bookmarkEnd w:id="2"/>
    </w:p>
    <w:sectPr>
      <w:pgSz w:w="11906" w:h="16838"/>
      <w:pgMar w:top="1440" w:right="746" w:bottom="1440" w:left="13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47A28"/>
    <w:multiLevelType w:val="multilevel"/>
    <w:tmpl w:val="12E47A28"/>
    <w:lvl w:ilvl="0" w:tentative="0">
      <w:start w:val="1"/>
      <w:numFmt w:val="bullet"/>
      <w:lvlText w:val="-"/>
      <w:lvlJc w:val="left"/>
      <w:pPr>
        <w:ind w:left="720" w:hanging="360"/>
      </w:pPr>
      <w:rPr>
        <w:rFonts w:hint="default" w:ascii="Tahoma" w:hAnsi="Tahoma"/>
        <w:b w:val="0"/>
        <w:i/>
        <w:u w:val="none"/>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E0F5F"/>
    <w:rsid w:val="1B8E0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2021-04-05T04:28:00Z</dcterms:created>
  <dc:creator>hungnm</dc:creator>
  <cp:lastModifiedBy>hungnm</cp:lastModifiedBy>
  <dcterms:modified xsi:type="dcterms:W3CDTF">2021-04-05T04:30:14Z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